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caps/>
          <w:shadow/>
          <w:sz w:val="24"/>
          <w:szCs w:val="24"/>
        </w:rPr>
      </w:pPr>
      <w:r>
        <w:rPr>
          <w:rFonts w:cs="Times New Roman" w:ascii="Times New Roman" w:hAnsi="Times New Roman"/>
          <w:b/>
          <w:caps/>
          <w:shadow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caps/>
          <w:shadow/>
          <w:color w:val="FFC000"/>
          <w:sz w:val="48"/>
          <w:szCs w:val="48"/>
        </w:rPr>
      </w:pPr>
      <w:r>
        <w:rPr>
          <w:rFonts w:cs="Times New Roman" w:ascii="Times New Roman" w:hAnsi="Times New Roman"/>
          <w:b/>
          <w:caps/>
          <w:shadow/>
          <w:color w:val="FFC000"/>
          <w:sz w:val="48"/>
          <w:szCs w:val="48"/>
        </w:rPr>
        <w:t>Олимпиадная задача как повод для занятия кружка.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shadow/>
          <w:color w:val="FFC000"/>
          <w:sz w:val="48"/>
          <w:szCs w:val="48"/>
        </w:rPr>
      </w:pPr>
      <w:r>
        <w:rPr>
          <w:rFonts w:cs="Times New Roman" w:ascii="Times New Roman" w:hAnsi="Times New Roman"/>
          <w:b/>
          <w:shadow/>
          <w:color w:val="FFC000"/>
          <w:sz w:val="48"/>
          <w:szCs w:val="48"/>
        </w:rPr>
        <w:t>«ОДНИМ РАЗРЕЗОМ»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(методические рекомендации для руководителей математических кружков)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ind w:left="-709"/>
        <w:jc w:val="center"/>
        <w:rPr>
          <w:rFonts w:ascii="Times New Roman" w:hAnsi="Times New Roman" w:cs="Times New Roman"/>
          <w:sz w:val="24"/>
          <w:szCs w:val="24"/>
        </w:rPr>
      </w:pPr>
      <w:r>
        <w:rPr/>
        <w:drawing>
          <wp:inline distT="0" distB="0" distL="0" distR="0">
            <wp:extent cx="6840220" cy="2150110"/>
            <wp:effectExtent l="0" t="0" r="0" b="0"/>
            <wp:docPr id="1" name="Рисунок 0" descr="fold_and_cut_problem_solution_2_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fold_and_cut_problem_solution_2_600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2150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color w:themeColor="text1" w:val="000000"/>
          <w:sz w:val="24"/>
          <w:szCs w:val="24"/>
        </w:rPr>
      </w:pPr>
      <w:r>
        <w:rPr>
          <w:rFonts w:cs="Times New Roman" w:ascii="Times New Roman" w:hAnsi="Times New Roman"/>
          <w:color w:themeColor="text1" w:val="000000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color w:themeColor="text1"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  <w:lang w:eastAsia="ru-RU"/>
        </w:rPr>
        <w:t xml:space="preserve">Педагог дополнительного образования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color w:themeColor="text1"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color w:themeColor="text1" w:val="000000"/>
          <w:sz w:val="28"/>
          <w:szCs w:val="28"/>
          <w:lang w:eastAsia="ru-RU"/>
        </w:rPr>
        <w:t xml:space="preserve">руководитель ТО «Компьютерный мир»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/>
          <w:shadow/>
          <w:color w:val="FFC000"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color w:themeColor="text1" w:val="000000"/>
          <w:sz w:val="24"/>
          <w:szCs w:val="24"/>
          <w:lang w:eastAsia="ru-RU"/>
        </w:rPr>
        <w:t xml:space="preserve">                                                           </w:t>
      </w:r>
      <w:r>
        <w:rPr>
          <w:rFonts w:cs="Times New Roman" w:ascii="Times New Roman" w:hAnsi="Times New Roman"/>
          <w:b/>
          <w:shadow/>
          <w:color w:val="FFC000"/>
          <w:sz w:val="28"/>
          <w:szCs w:val="28"/>
          <w:lang w:eastAsia="ru-RU"/>
        </w:rPr>
        <w:t xml:space="preserve">Новикова </w:t>
      </w:r>
      <w:r>
        <w:rPr>
          <w:rFonts w:cs="Times New Roman" w:ascii="Times New Roman" w:hAnsi="Times New Roman"/>
          <w:b/>
          <w:shadow/>
          <w:color w:val="FFC000"/>
          <w:sz w:val="28"/>
          <w:szCs w:val="28"/>
        </w:rPr>
        <w:t>Ирина Ильинична</w:t>
      </w:r>
    </w:p>
    <w:p>
      <w:pPr>
        <w:pStyle w:val="Normal"/>
        <w:spacing w:lineRule="atLeast" w:line="120" w:before="0" w:after="0"/>
        <w:ind w:left="4536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tbl>
      <w:tblPr>
        <w:tblW w:w="96" w:type="dxa"/>
        <w:jc w:val="left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>
        <w:trPr/>
        <w:tc>
          <w:tcPr>
            <w:tcW w:w="96" w:type="dxa"/>
            <w:tcBorders/>
            <w:vAlign w:val="center"/>
          </w:tcPr>
          <w:p>
            <w:pPr>
              <w:pStyle w:val="Normal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spacing w:lineRule="atLeast" w:line="120" w:before="0" w:after="0"/>
        <w:ind w:left="45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120" w:before="0" w:after="0"/>
        <w:ind w:left="45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120" w:before="0" w:after="0"/>
        <w:ind w:left="45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120" w:before="0" w:after="0"/>
        <w:ind w:left="45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120" w:before="0" w:after="0"/>
        <w:ind w:left="45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12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12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position w:val="40"/>
          <w:sz w:val="24"/>
          <w:szCs w:val="24"/>
        </w:rPr>
        <w:t>Астрахань</w:t>
      </w:r>
    </w:p>
    <w:p>
      <w:pPr>
        <w:pStyle w:val="NormalWeb"/>
        <w:shd w:val="clear" w:color="auto" w:fill="FFFFFF"/>
        <w:spacing w:lineRule="auto" w:line="360" w:beforeAutospacing="0" w:before="0" w:afterAutospacing="0" w:after="0"/>
        <w:ind w:firstLine="709"/>
        <w:jc w:val="both"/>
        <w:rPr>
          <w:rFonts w:eastAsia="Calibri" w:eastAsiaTheme="minorHAnsi"/>
          <w:i/>
          <w:i/>
          <w:sz w:val="28"/>
          <w:szCs w:val="28"/>
          <w:lang w:eastAsia="en-US"/>
        </w:rPr>
      </w:pPr>
      <w:r>
        <w:rPr/>
      </w:r>
      <w:r>
        <w:br w:type="page"/>
      </w:r>
    </w:p>
    <w:p>
      <w:pPr>
        <w:pStyle w:val="NormalWeb"/>
        <w:shd w:val="clear" w:color="auto" w:fill="FFFFFF"/>
        <w:spacing w:lineRule="auto" w:line="360" w:beforeAutospacing="0" w:before="0" w:afterAutospacing="0" w:after="0"/>
        <w:ind w:firstLine="709"/>
        <w:jc w:val="both"/>
        <w:rPr>
          <w:rFonts w:eastAsia="Calibri" w:eastAsiaTheme="minorHAnsi"/>
          <w:i/>
          <w:i/>
          <w:sz w:val="28"/>
          <w:szCs w:val="28"/>
          <w:lang w:eastAsia="en-US"/>
        </w:rPr>
      </w:pPr>
      <w:r>
        <w:rPr>
          <w:rFonts w:eastAsia="Calibri" w:eastAsiaTheme="minorHAnsi"/>
          <w:i/>
          <w:sz w:val="28"/>
          <w:szCs w:val="28"/>
          <w:lang w:eastAsia="en-US"/>
        </w:rPr>
        <w:t>Методические рекомендации посвящены вопросу  решения геометрической олимпиадной  задачи уровня начальной школы. Рассмотрены примеры, приведены методы решения, дана историческая справка. Работа выполнена в форме, доступной для понимания материала, как взрослыми, так и школьниками.</w:t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</w:r>
    </w:p>
    <w:p>
      <w:pPr>
        <w:pStyle w:val="NormalWeb"/>
        <w:shd w:val="clear" w:color="auto" w:fill="FFFFFF"/>
        <w:spacing w:lineRule="auto" w:line="360" w:beforeAutospacing="0" w:before="0" w:afterAutospacing="0" w:after="0"/>
        <w:ind w:firstLine="709"/>
        <w:jc w:val="both"/>
        <w:rPr>
          <w:rFonts w:eastAsia="Calibri" w:eastAsiaTheme="minorHAnsi"/>
          <w:i/>
          <w:i/>
          <w:sz w:val="28"/>
          <w:szCs w:val="28"/>
          <w:lang w:eastAsia="en-US"/>
        </w:rPr>
      </w:pPr>
      <w:r>
        <w:rPr>
          <w:rFonts w:eastAsia="Calibri" w:eastAsiaTheme="minorHAnsi"/>
          <w:i/>
          <w:sz w:val="28"/>
          <w:szCs w:val="28"/>
          <w:lang w:eastAsia="en-US"/>
        </w:rPr>
        <w:t xml:space="preserve">Предлагаемые рекомендации адресованы педагогам дополнительного образования учреждений дополнительного образования детей, учителям школ, лицеев и гимназий для использования в работе математического кружка с целью формирования навыков решения геометрических задач определенного типа, подготовки учащихся к конкурсным мероприятиям, расширения их кругозора.  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Материал рассмотрен и рекомендован к утверждению методическим советом ГАУ ДО АОЦРТ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rPr>
          <w:rFonts w:ascii="Times New Roman" w:hAnsi="Times New Roman" w:cs="Times New Roman"/>
          <w:color w:themeColor="accent2" w:val="C0504D"/>
          <w:sz w:val="28"/>
          <w:szCs w:val="28"/>
        </w:rPr>
      </w:pPr>
      <w:r>
        <w:rPr>
          <w:rFonts w:cs="Times New Roman" w:ascii="Times New Roman" w:hAnsi="Times New Roman"/>
          <w:color w:themeColor="accent2" w:val="C0504D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color w:themeColor="accent2" w:val="C0504D"/>
          <w:sz w:val="28"/>
          <w:szCs w:val="28"/>
        </w:rPr>
      </w:pPr>
      <w:r>
        <w:rPr>
          <w:rFonts w:cs="Times New Roman" w:ascii="Times New Roman" w:hAnsi="Times New Roman"/>
          <w:color w:themeColor="accent2" w:val="C0504D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color w:themeColor="accent2" w:val="C0504D"/>
          <w:sz w:val="28"/>
          <w:szCs w:val="28"/>
        </w:rPr>
      </w:pPr>
      <w:r>
        <w:rPr>
          <w:rFonts w:cs="Times New Roman" w:ascii="Times New Roman" w:hAnsi="Times New Roman"/>
          <w:color w:themeColor="accent2" w:val="C0504D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color w:themeColor="accent2" w:val="C0504D"/>
          <w:sz w:val="28"/>
          <w:szCs w:val="28"/>
        </w:rPr>
      </w:pPr>
      <w:r>
        <w:rPr>
          <w:rFonts w:cs="Times New Roman" w:ascii="Times New Roman" w:hAnsi="Times New Roman"/>
          <w:color w:themeColor="accent2" w:val="C0504D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color w:themeColor="accent2" w:val="C0504D"/>
          <w:sz w:val="28"/>
          <w:szCs w:val="28"/>
        </w:rPr>
      </w:pPr>
      <w:r>
        <w:rPr>
          <w:rFonts w:cs="Times New Roman" w:ascii="Times New Roman" w:hAnsi="Times New Roman"/>
          <w:color w:themeColor="accent2" w:val="C0504D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color w:themeColor="accent2" w:val="C0504D"/>
          <w:sz w:val="28"/>
          <w:szCs w:val="28"/>
        </w:rPr>
      </w:pPr>
      <w:r>
        <w:rPr>
          <w:rFonts w:cs="Times New Roman" w:ascii="Times New Roman" w:hAnsi="Times New Roman"/>
          <w:color w:themeColor="accent2" w:val="C0504D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color w:themeColor="accent2" w:val="C0504D"/>
          <w:sz w:val="28"/>
          <w:szCs w:val="28"/>
        </w:rPr>
      </w:pPr>
      <w:r>
        <w:rPr>
          <w:rFonts w:cs="Times New Roman" w:ascii="Times New Roman" w:hAnsi="Times New Roman"/>
          <w:color w:themeColor="accent2" w:val="C0504D"/>
          <w:sz w:val="28"/>
          <w:szCs w:val="28"/>
        </w:rPr>
      </w:r>
    </w:p>
    <w:p>
      <w:pPr>
        <w:pStyle w:val="Normal"/>
        <w:spacing w:lineRule="auto" w:line="276" w:before="0" w:after="200"/>
        <w:jc w:val="center"/>
        <w:rPr>
          <w:rFonts w:ascii="Arial" w:hAnsi="Arial" w:cs="Arial"/>
          <w:color w:val="000000"/>
          <w:sz w:val="30"/>
          <w:szCs w:val="30"/>
          <w:shd w:fill="FFFFFF" w:val="clear"/>
        </w:rPr>
      </w:pPr>
      <w:r>
        <w:rPr>
          <w:rFonts w:cs="Arial" w:ascii="Arial" w:hAnsi="Arial"/>
          <w:color w:val="000000"/>
          <w:sz w:val="30"/>
          <w:szCs w:val="30"/>
          <w:shd w:fill="FFFFFF" w:val="clear"/>
        </w:rPr>
      </w:r>
    </w:p>
    <w:p>
      <w:pPr>
        <w:pStyle w:val="Normal"/>
        <w:spacing w:lineRule="auto" w:line="276" w:before="0" w:after="200"/>
        <w:rPr>
          <w:rFonts w:ascii="Times New Roman" w:hAnsi="Times New Roman" w:eastAsia="Times New Roman" w:cs="Times New Roman"/>
          <w:b/>
          <w:bCs/>
          <w:caps/>
          <w:kern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aps/>
          <w:kern w:val="2"/>
          <w:sz w:val="28"/>
          <w:szCs w:val="28"/>
          <w:lang w:eastAsia="ru-RU"/>
        </w:rPr>
      </w:r>
      <w:r>
        <w:br w:type="page"/>
      </w:r>
    </w:p>
    <w:p>
      <w:pPr>
        <w:pStyle w:val="Normal"/>
        <w:spacing w:lineRule="auto" w:line="276" w:before="0" w:after="200"/>
        <w:rPr/>
      </w:pPr>
      <w:r>
        <w:rPr/>
      </w:r>
      <w:r>
        <w:br w:type="page"/>
      </w:r>
    </w:p>
    <w:p>
      <w:pPr>
        <w:pStyle w:val="Normal"/>
        <w:spacing w:before="0" w:after="160"/>
        <w:rPr/>
      </w:pPr>
      <w:r>
        <w:rPr/>
      </w:r>
    </w:p>
    <w:sectPr>
      <w:type w:val="nextPage"/>
      <w:pgSz w:w="11906" w:h="16838"/>
      <w:pgMar w:left="1276" w:right="849" w:gutter="0" w:header="0" w:top="1134" w:footer="0" w:bottom="1134"/>
      <w:pgBorders w:display="allPages" w:offsetFrom="page">
        <w:top w:val="thinThickSmallGap" w:sz="24" w:space="24" w:color="FFC000"/>
        <w:left w:val="thinThickSmallGap" w:sz="24" w:space="24" w:color="FFC000"/>
        <w:bottom w:val="thickThinSmallGap" w:sz="24" w:space="24" w:color="FFC000"/>
        <w:right w:val="thickThinSmallGap" w:sz="24" w:space="24" w:color="FFC000"/>
      </w:pgBorders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swiss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8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31cfa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5c0f3c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unhideWhenUsed/>
    <w:qFormat/>
    <w:rsid w:val="00331cfa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5c0f3c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Application>LibreOffice/24.8.4.2$Windows_X86_64 LibreOffice_project/bb3cfa12c7b1bf994ecc5649a80400d06cd71002</Application>
  <AppVersion>15.0000</AppVersion>
  <Pages>5</Pages>
  <Words>107</Words>
  <Characters>850</Characters>
  <CharactersWithSpaces>1013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2019-01-09T08:13:00Z</dcterms:created>
  <dc:creator>User</dc:creator>
  <dc:description/>
  <dc:language>ru-RU</dc:language>
  <cp:lastModifiedBy/>
  <cp:lastPrinted>2019-01-09T11:24:00Z</cp:lastPrinted>
  <dcterms:modified xsi:type="dcterms:W3CDTF">2025-02-10T12:38:13Z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